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CAE36">
      <w:pPr>
        <w:spacing w:line="560" w:lineRule="exact"/>
        <w:rPr>
          <w:rFonts w:hint="eastAsia" w:ascii="方正仿宋_GB2312" w:hAnsi="仿宋" w:eastAsia="方正仿宋_GB2312"/>
          <w:b/>
          <w:color w:val="000000"/>
          <w:sz w:val="24"/>
          <w:szCs w:val="24"/>
        </w:rPr>
      </w:pPr>
      <w:r>
        <w:rPr>
          <w:rStyle w:val="15"/>
          <w:rFonts w:hint="eastAsia" w:ascii="方正小标宋简体" w:hAnsi="华文中宋" w:eastAsia="方正小标宋简体"/>
          <w:b w:val="0"/>
          <w:color w:val="000000"/>
          <w:spacing w:val="-11"/>
          <w:sz w:val="44"/>
          <w:szCs w:val="36"/>
        </w:rPr>
        <w:t>新闻访谈、新闻直播、视听设计（音视频编排）</w:t>
      </w:r>
    </w:p>
    <w:p w14:paraId="65429842">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参评作品推荐表</w:t>
      </w:r>
    </w:p>
    <w:tbl>
      <w:tblPr>
        <w:tblStyle w:val="13"/>
        <w:tblW w:w="10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012"/>
        <w:gridCol w:w="552"/>
        <w:gridCol w:w="804"/>
        <w:gridCol w:w="1181"/>
        <w:gridCol w:w="19"/>
        <w:gridCol w:w="792"/>
        <w:gridCol w:w="194"/>
        <w:gridCol w:w="553"/>
        <w:gridCol w:w="1070"/>
        <w:gridCol w:w="489"/>
        <w:gridCol w:w="243"/>
        <w:gridCol w:w="132"/>
        <w:gridCol w:w="1074"/>
        <w:gridCol w:w="1253"/>
      </w:tblGrid>
      <w:tr w14:paraId="59BE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996" w:type="dxa"/>
            <w:gridSpan w:val="2"/>
            <w:vMerge w:val="restart"/>
            <w:vAlign w:val="center"/>
          </w:tcPr>
          <w:p w14:paraId="644C360D">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4095" w:type="dxa"/>
            <w:gridSpan w:val="7"/>
            <w:vMerge w:val="restart"/>
            <w:vAlign w:val="center"/>
          </w:tcPr>
          <w:p w14:paraId="024D8BA6">
            <w:pPr>
              <w:spacing w:line="240" w:lineRule="exact"/>
              <w:jc w:val="left"/>
              <w:rPr>
                <w:rFonts w:hint="eastAsia" w:ascii="仿宋" w:hAnsi="仿宋" w:eastAsia="仿宋"/>
                <w:color w:val="000000"/>
                <w:szCs w:val="21"/>
              </w:rPr>
            </w:pPr>
            <w:r>
              <w:rPr>
                <w:rFonts w:hint="eastAsia" w:ascii="仿宋" w:hAnsi="仿宋" w:eastAsia="仿宋"/>
                <w:color w:val="000000"/>
                <w:szCs w:val="21"/>
              </w:rPr>
              <w:t>《从斧声消逝到万物生长——内蒙古大兴安岭停伐十年》融媒体直播</w:t>
            </w:r>
          </w:p>
        </w:tc>
        <w:tc>
          <w:tcPr>
            <w:tcW w:w="1559" w:type="dxa"/>
            <w:gridSpan w:val="2"/>
            <w:vAlign w:val="center"/>
          </w:tcPr>
          <w:p w14:paraId="4BDA5B49">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参评项目</w:t>
            </w:r>
          </w:p>
        </w:tc>
        <w:tc>
          <w:tcPr>
            <w:tcW w:w="2702" w:type="dxa"/>
            <w:gridSpan w:val="4"/>
            <w:vAlign w:val="center"/>
          </w:tcPr>
          <w:p w14:paraId="2E384037">
            <w:pPr>
              <w:spacing w:line="240" w:lineRule="exact"/>
              <w:jc w:val="left"/>
              <w:rPr>
                <w:rFonts w:hint="eastAsia" w:ascii="仿宋" w:hAnsi="仿宋" w:eastAsia="仿宋"/>
                <w:color w:val="000000"/>
                <w:szCs w:val="21"/>
                <w:lang w:eastAsia="zh-CN"/>
              </w:rPr>
            </w:pPr>
            <w:r>
              <w:rPr>
                <w:rFonts w:hint="eastAsia" w:ascii="仿宋" w:hAnsi="仿宋" w:eastAsia="仿宋"/>
                <w:color w:val="000000"/>
                <w:szCs w:val="21"/>
              </w:rPr>
              <w:t>新闻直播</w:t>
            </w:r>
            <w:r>
              <w:rPr>
                <w:rFonts w:hint="eastAsia" w:ascii="仿宋" w:hAnsi="仿宋" w:eastAsia="仿宋"/>
                <w:color w:val="000000"/>
                <w:szCs w:val="21"/>
                <w:lang w:eastAsia="zh-CN"/>
              </w:rPr>
              <w:t>（新媒体）</w:t>
            </w:r>
          </w:p>
        </w:tc>
      </w:tr>
      <w:tr w14:paraId="43E3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996" w:type="dxa"/>
            <w:gridSpan w:val="2"/>
            <w:vMerge w:val="continue"/>
            <w:vAlign w:val="center"/>
          </w:tcPr>
          <w:p w14:paraId="6C08929D">
            <w:pPr>
              <w:spacing w:line="320" w:lineRule="exact"/>
              <w:jc w:val="center"/>
              <w:rPr>
                <w:rFonts w:hint="eastAsia" w:ascii="华文中宋" w:hAnsi="华文中宋" w:eastAsia="华文中宋"/>
                <w:color w:val="000000"/>
                <w:sz w:val="28"/>
                <w:szCs w:val="20"/>
              </w:rPr>
            </w:pPr>
          </w:p>
        </w:tc>
        <w:tc>
          <w:tcPr>
            <w:tcW w:w="4095" w:type="dxa"/>
            <w:gridSpan w:val="7"/>
            <w:vMerge w:val="continue"/>
            <w:vAlign w:val="center"/>
          </w:tcPr>
          <w:p w14:paraId="4820ADD2">
            <w:pPr>
              <w:spacing w:line="240" w:lineRule="exact"/>
              <w:jc w:val="left"/>
              <w:rPr>
                <w:rFonts w:hint="eastAsia" w:ascii="仿宋" w:hAnsi="仿宋" w:eastAsia="仿宋"/>
                <w:color w:val="000000"/>
                <w:szCs w:val="21"/>
              </w:rPr>
            </w:pPr>
          </w:p>
        </w:tc>
        <w:tc>
          <w:tcPr>
            <w:tcW w:w="1559" w:type="dxa"/>
            <w:gridSpan w:val="2"/>
            <w:vAlign w:val="center"/>
          </w:tcPr>
          <w:p w14:paraId="0E04038E">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体裁</w:t>
            </w:r>
          </w:p>
        </w:tc>
        <w:tc>
          <w:tcPr>
            <w:tcW w:w="2702" w:type="dxa"/>
            <w:gridSpan w:val="4"/>
            <w:vAlign w:val="center"/>
          </w:tcPr>
          <w:p w14:paraId="01CEB467">
            <w:pPr>
              <w:spacing w:line="240" w:lineRule="exact"/>
              <w:jc w:val="left"/>
              <w:rPr>
                <w:rFonts w:hint="eastAsia" w:ascii="仿宋" w:hAnsi="仿宋" w:eastAsia="仿宋"/>
                <w:color w:val="000000"/>
                <w:szCs w:val="21"/>
              </w:rPr>
            </w:pPr>
          </w:p>
        </w:tc>
      </w:tr>
      <w:tr w14:paraId="1E31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996" w:type="dxa"/>
            <w:gridSpan w:val="2"/>
            <w:vAlign w:val="center"/>
          </w:tcPr>
          <w:p w14:paraId="22DAB210">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时长</w:t>
            </w:r>
          </w:p>
        </w:tc>
        <w:tc>
          <w:tcPr>
            <w:tcW w:w="4095" w:type="dxa"/>
            <w:gridSpan w:val="7"/>
            <w:vAlign w:val="center"/>
          </w:tcPr>
          <w:p w14:paraId="6BD70E56">
            <w:pPr>
              <w:spacing w:line="240" w:lineRule="exact"/>
              <w:jc w:val="left"/>
              <w:rPr>
                <w:rFonts w:hint="eastAsia" w:ascii="仿宋" w:hAnsi="仿宋" w:eastAsia="仿宋"/>
                <w:color w:val="000000"/>
                <w:szCs w:val="21"/>
              </w:rPr>
            </w:pPr>
            <w:r>
              <w:rPr>
                <w:rFonts w:hint="eastAsia" w:ascii="仿宋" w:hAnsi="仿宋" w:eastAsia="仿宋"/>
                <w:color w:val="000000"/>
                <w:szCs w:val="21"/>
              </w:rPr>
              <w:t>80分44秒</w:t>
            </w:r>
          </w:p>
        </w:tc>
        <w:tc>
          <w:tcPr>
            <w:tcW w:w="1559" w:type="dxa"/>
            <w:gridSpan w:val="2"/>
            <w:vAlign w:val="center"/>
          </w:tcPr>
          <w:p w14:paraId="15718F10">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702" w:type="dxa"/>
            <w:gridSpan w:val="4"/>
            <w:vAlign w:val="center"/>
          </w:tcPr>
          <w:p w14:paraId="5929B656">
            <w:pPr>
              <w:spacing w:line="240" w:lineRule="exact"/>
              <w:jc w:val="left"/>
              <w:rPr>
                <w:rFonts w:hint="eastAsia" w:ascii="仿宋" w:hAnsi="仿宋" w:eastAsia="仿宋"/>
                <w:color w:val="000000"/>
                <w:szCs w:val="21"/>
                <w:lang w:eastAsia="zh-CN"/>
              </w:rPr>
            </w:pPr>
            <w:r>
              <w:rPr>
                <w:rFonts w:hint="eastAsia" w:ascii="仿宋" w:hAnsi="仿宋" w:eastAsia="仿宋"/>
                <w:color w:val="000000"/>
                <w:szCs w:val="21"/>
                <w:lang w:eastAsia="zh-CN"/>
              </w:rPr>
              <w:t>国家通用语言文字</w:t>
            </w:r>
          </w:p>
        </w:tc>
      </w:tr>
      <w:tr w14:paraId="2C08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exact"/>
          <w:jc w:val="center"/>
        </w:trPr>
        <w:tc>
          <w:tcPr>
            <w:tcW w:w="1996" w:type="dxa"/>
            <w:gridSpan w:val="2"/>
            <w:vAlign w:val="center"/>
          </w:tcPr>
          <w:p w14:paraId="68966CB2">
            <w:pPr>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p w14:paraId="364817A4">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4"/>
                <w:szCs w:val="24"/>
              </w:rPr>
              <w:t>（主创人员）</w:t>
            </w:r>
          </w:p>
        </w:tc>
        <w:tc>
          <w:tcPr>
            <w:tcW w:w="4095" w:type="dxa"/>
            <w:gridSpan w:val="7"/>
            <w:vAlign w:val="center"/>
          </w:tcPr>
          <w:p w14:paraId="1B1DF5B6">
            <w:pPr>
              <w:spacing w:line="240" w:lineRule="exact"/>
              <w:jc w:val="left"/>
              <w:rPr>
                <w:rFonts w:hint="eastAsia" w:ascii="仿宋" w:hAnsi="仿宋" w:eastAsia="仿宋"/>
                <w:color w:val="000000"/>
                <w:szCs w:val="21"/>
              </w:rPr>
            </w:pPr>
            <w:r>
              <w:rPr>
                <w:rFonts w:hint="eastAsia" w:ascii="仿宋" w:hAnsi="仿宋" w:eastAsia="仿宋"/>
                <w:color w:val="000000"/>
                <w:szCs w:val="21"/>
                <w:lang w:val="en-US" w:eastAsia="zh-CN"/>
              </w:rPr>
              <w:t>集体（</w:t>
            </w:r>
            <w:r>
              <w:rPr>
                <w:rFonts w:hint="eastAsia" w:ascii="仿宋" w:hAnsi="仿宋" w:eastAsia="仿宋"/>
                <w:color w:val="000000"/>
                <w:szCs w:val="21"/>
              </w:rPr>
              <w:t>和岩、董云静、王荣、张晓东、王乐、王旖旎、梁爽、吕阔函、李雅坤、刘璐、赵婧、王惠聪、靳可、白音嘎日迪、王伟帆、郜继敏、赵欢、呼伦贝尔市融媒体中心张东阳、欧戈、王凯超、李晓斌、包斯琴，根河市融媒体中心李雪瑞、王净，乌兰察布市融媒体中心宋晓辉</w:t>
            </w:r>
            <w:r>
              <w:rPr>
                <w:rFonts w:hint="eastAsia" w:ascii="仿宋" w:hAnsi="仿宋" w:eastAsia="仿宋"/>
                <w:color w:val="000000"/>
                <w:szCs w:val="21"/>
                <w:lang w:val="en-US" w:eastAsia="zh-CN"/>
              </w:rPr>
              <w:t>）</w:t>
            </w:r>
          </w:p>
        </w:tc>
        <w:tc>
          <w:tcPr>
            <w:tcW w:w="1559" w:type="dxa"/>
            <w:gridSpan w:val="2"/>
            <w:vAlign w:val="center"/>
          </w:tcPr>
          <w:p w14:paraId="534D1776">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702" w:type="dxa"/>
            <w:gridSpan w:val="4"/>
            <w:vAlign w:val="center"/>
          </w:tcPr>
          <w:p w14:paraId="3F55B047">
            <w:pPr>
              <w:spacing w:line="240" w:lineRule="exact"/>
              <w:jc w:val="left"/>
              <w:rPr>
                <w:rFonts w:hint="eastAsia" w:ascii="仿宋" w:hAnsi="仿宋" w:eastAsia="仿宋"/>
                <w:color w:val="000000"/>
                <w:szCs w:val="21"/>
              </w:rPr>
            </w:pPr>
            <w:r>
              <w:rPr>
                <w:rFonts w:hint="eastAsia" w:ascii="仿宋" w:hAnsi="仿宋" w:eastAsia="仿宋"/>
                <w:color w:val="000000"/>
                <w:szCs w:val="21"/>
                <w:lang w:val="en-US" w:eastAsia="zh-CN"/>
              </w:rPr>
              <w:t>集体（</w:t>
            </w:r>
            <w:r>
              <w:rPr>
                <w:rFonts w:hint="eastAsia" w:ascii="仿宋" w:hAnsi="仿宋" w:eastAsia="仿宋"/>
                <w:color w:val="000000"/>
                <w:szCs w:val="21"/>
              </w:rPr>
              <w:t>侯爱文、王贵阳、冯佳妮、敖琳、张轶男、赵晓燕、查干、赵书冉、于学慧、银晓伟、崔征瑶</w:t>
            </w:r>
            <w:r>
              <w:rPr>
                <w:rFonts w:hint="eastAsia" w:ascii="仿宋" w:hAnsi="仿宋" w:eastAsia="仿宋"/>
                <w:color w:val="000000"/>
                <w:szCs w:val="21"/>
                <w:lang w:val="en-US" w:eastAsia="zh-CN"/>
              </w:rPr>
              <w:t>）</w:t>
            </w:r>
          </w:p>
        </w:tc>
      </w:tr>
      <w:tr w14:paraId="5499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996" w:type="dxa"/>
            <w:gridSpan w:val="2"/>
            <w:vAlign w:val="center"/>
          </w:tcPr>
          <w:p w14:paraId="211B6450">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4095" w:type="dxa"/>
            <w:gridSpan w:val="7"/>
            <w:vAlign w:val="center"/>
          </w:tcPr>
          <w:p w14:paraId="45D6B8E6">
            <w:pPr>
              <w:spacing w:line="240" w:lineRule="exact"/>
              <w:jc w:val="left"/>
              <w:rPr>
                <w:rFonts w:hint="eastAsia" w:ascii="仿宋" w:hAnsi="仿宋" w:eastAsia="仿宋"/>
                <w:color w:val="000000"/>
                <w:szCs w:val="21"/>
              </w:rPr>
            </w:pPr>
            <w:r>
              <w:rPr>
                <w:rFonts w:hint="eastAsia" w:ascii="仿宋" w:hAnsi="仿宋" w:eastAsia="仿宋" w:cs="仿宋"/>
                <w:color w:val="000000"/>
                <w:spacing w:val="-6"/>
                <w:szCs w:val="15"/>
              </w:rPr>
              <w:t>内蒙古广播电视台</w:t>
            </w:r>
          </w:p>
        </w:tc>
        <w:tc>
          <w:tcPr>
            <w:tcW w:w="1559" w:type="dxa"/>
            <w:gridSpan w:val="2"/>
            <w:vAlign w:val="center"/>
          </w:tcPr>
          <w:p w14:paraId="0E7284ED">
            <w:pPr>
              <w:spacing w:line="320" w:lineRule="exact"/>
              <w:jc w:val="center"/>
              <w:rPr>
                <w:rFonts w:ascii="华文中宋" w:hAnsi="华文中宋" w:eastAsia="华文中宋"/>
                <w:color w:val="000000"/>
                <w:spacing w:val="-11"/>
                <w:sz w:val="22"/>
                <w:szCs w:val="20"/>
              </w:rPr>
            </w:pPr>
            <w:r>
              <w:rPr>
                <w:rFonts w:hint="eastAsia" w:ascii="华文中宋" w:hAnsi="华文中宋" w:eastAsia="华文中宋"/>
                <w:color w:val="000000"/>
                <w:spacing w:val="-11"/>
                <w:sz w:val="22"/>
                <w:szCs w:val="20"/>
              </w:rPr>
              <w:t>发布端/账号/</w:t>
            </w:r>
          </w:p>
          <w:p w14:paraId="52A8FEAC">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702" w:type="dxa"/>
            <w:gridSpan w:val="4"/>
            <w:vAlign w:val="center"/>
          </w:tcPr>
          <w:p w14:paraId="2F5595DA">
            <w:pPr>
              <w:spacing w:line="240" w:lineRule="exact"/>
              <w:jc w:val="left"/>
              <w:rPr>
                <w:rFonts w:hint="eastAsia" w:ascii="仿宋" w:hAnsi="仿宋" w:eastAsia="仿宋"/>
                <w:color w:val="000000"/>
                <w:szCs w:val="21"/>
              </w:rPr>
            </w:pPr>
            <w:r>
              <w:rPr>
                <w:rFonts w:hint="eastAsia" w:ascii="仿宋" w:hAnsi="仿宋" w:eastAsia="仿宋"/>
                <w:color w:val="000000"/>
                <w:szCs w:val="21"/>
              </w:rPr>
              <w:t>奔腾融媒客户端</w:t>
            </w:r>
          </w:p>
        </w:tc>
      </w:tr>
      <w:tr w14:paraId="2EFC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96" w:type="dxa"/>
            <w:gridSpan w:val="2"/>
            <w:vAlign w:val="center"/>
          </w:tcPr>
          <w:p w14:paraId="4AC9320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w:t>
            </w:r>
          </w:p>
          <w:p w14:paraId="0DF32DA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华文中宋" w:hAnsi="华文中宋" w:eastAsia="华文中宋"/>
                <w:color w:val="000000"/>
                <w:sz w:val="28"/>
                <w:szCs w:val="20"/>
              </w:rPr>
            </w:pPr>
            <w:r>
              <w:rPr>
                <w:rFonts w:hint="eastAsia" w:ascii="华文中宋" w:hAnsi="华文中宋" w:eastAsia="华文中宋"/>
                <w:color w:val="000000"/>
                <w:sz w:val="28"/>
                <w:szCs w:val="20"/>
              </w:rPr>
              <w:t>频率频道</w:t>
            </w:r>
          </w:p>
        </w:tc>
        <w:tc>
          <w:tcPr>
            <w:tcW w:w="4095" w:type="dxa"/>
            <w:gridSpan w:val="7"/>
            <w:vAlign w:val="center"/>
          </w:tcPr>
          <w:p w14:paraId="4C37EA40">
            <w:pPr>
              <w:spacing w:line="240" w:lineRule="exact"/>
              <w:jc w:val="left"/>
              <w:rPr>
                <w:rFonts w:ascii="华文中宋" w:hAnsi="华文中宋" w:eastAsia="华文中宋"/>
                <w:color w:val="000000"/>
                <w:sz w:val="24"/>
                <w:szCs w:val="24"/>
              </w:rPr>
            </w:pPr>
          </w:p>
        </w:tc>
        <w:tc>
          <w:tcPr>
            <w:tcW w:w="1559" w:type="dxa"/>
            <w:gridSpan w:val="2"/>
            <w:vAlign w:val="center"/>
          </w:tcPr>
          <w:p w14:paraId="06BF3C34">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刊播日期</w:t>
            </w:r>
          </w:p>
        </w:tc>
        <w:tc>
          <w:tcPr>
            <w:tcW w:w="2702" w:type="dxa"/>
            <w:gridSpan w:val="4"/>
            <w:vAlign w:val="center"/>
          </w:tcPr>
          <w:p w14:paraId="41F0DF1E">
            <w:pPr>
              <w:spacing w:line="240" w:lineRule="exact"/>
              <w:jc w:val="left"/>
              <w:rPr>
                <w:rFonts w:hint="eastAsia" w:ascii="仿宋" w:hAnsi="仿宋" w:eastAsia="仿宋"/>
                <w:color w:val="000000"/>
                <w:szCs w:val="21"/>
                <w:lang w:eastAsia="zh-CN"/>
              </w:rPr>
            </w:pPr>
            <w:r>
              <w:rPr>
                <w:rFonts w:hint="eastAsia" w:ascii="仿宋" w:hAnsi="仿宋" w:eastAsia="仿宋"/>
                <w:color w:val="000000"/>
                <w:spacing w:val="-6"/>
                <w:sz w:val="21"/>
                <w:szCs w:val="21"/>
              </w:rPr>
              <w:t>2025</w:t>
            </w:r>
            <w:r>
              <w:rPr>
                <w:rFonts w:hint="eastAsia" w:ascii="仿宋" w:hAnsi="仿宋" w:eastAsia="仿宋"/>
                <w:color w:val="000000"/>
                <w:spacing w:val="-6"/>
                <w:sz w:val="21"/>
                <w:szCs w:val="21"/>
                <w:lang w:eastAsia="zh-CN"/>
              </w:rPr>
              <w:t>年</w:t>
            </w:r>
            <w:r>
              <w:rPr>
                <w:rFonts w:hint="eastAsia" w:ascii="仿宋" w:hAnsi="仿宋" w:eastAsia="仿宋"/>
                <w:color w:val="000000"/>
                <w:spacing w:val="-6"/>
                <w:sz w:val="21"/>
                <w:szCs w:val="21"/>
              </w:rPr>
              <w:t>4</w:t>
            </w:r>
            <w:r>
              <w:rPr>
                <w:rFonts w:hint="eastAsia" w:ascii="仿宋" w:hAnsi="仿宋" w:eastAsia="仿宋"/>
                <w:color w:val="000000"/>
                <w:spacing w:val="-6"/>
                <w:sz w:val="21"/>
                <w:szCs w:val="21"/>
                <w:lang w:eastAsia="zh-CN"/>
              </w:rPr>
              <w:t>月</w:t>
            </w:r>
            <w:r>
              <w:rPr>
                <w:rFonts w:hint="eastAsia" w:ascii="仿宋" w:hAnsi="仿宋" w:eastAsia="仿宋"/>
                <w:color w:val="000000"/>
                <w:spacing w:val="-6"/>
                <w:sz w:val="21"/>
                <w:szCs w:val="21"/>
              </w:rPr>
              <w:t>1</w:t>
            </w:r>
            <w:r>
              <w:rPr>
                <w:rFonts w:hint="eastAsia" w:ascii="仿宋" w:hAnsi="仿宋" w:eastAsia="仿宋"/>
                <w:color w:val="000000"/>
                <w:spacing w:val="-6"/>
                <w:sz w:val="21"/>
                <w:szCs w:val="21"/>
                <w:lang w:eastAsia="zh-CN"/>
              </w:rPr>
              <w:t>日</w:t>
            </w:r>
            <w:r>
              <w:rPr>
                <w:rFonts w:hint="eastAsia" w:ascii="仿宋" w:hAnsi="仿宋" w:eastAsia="仿宋"/>
                <w:color w:val="000000"/>
                <w:spacing w:val="-6"/>
                <w:sz w:val="21"/>
                <w:szCs w:val="21"/>
              </w:rPr>
              <w:t xml:space="preserve"> 10</w:t>
            </w:r>
            <w:r>
              <w:rPr>
                <w:rFonts w:hint="eastAsia" w:ascii="仿宋" w:hAnsi="仿宋" w:eastAsia="仿宋"/>
                <w:color w:val="000000"/>
                <w:spacing w:val="-6"/>
                <w:sz w:val="21"/>
                <w:szCs w:val="21"/>
                <w:lang w:eastAsia="zh-CN"/>
              </w:rPr>
              <w:t>时</w:t>
            </w:r>
            <w:r>
              <w:rPr>
                <w:rFonts w:hint="eastAsia" w:ascii="仿宋" w:hAnsi="仿宋" w:eastAsia="仿宋"/>
                <w:color w:val="000000"/>
                <w:spacing w:val="-6"/>
                <w:sz w:val="21"/>
                <w:szCs w:val="21"/>
              </w:rPr>
              <w:t>00</w:t>
            </w:r>
            <w:r>
              <w:rPr>
                <w:rFonts w:hint="eastAsia" w:ascii="仿宋" w:hAnsi="仿宋" w:eastAsia="仿宋"/>
                <w:color w:val="000000"/>
                <w:spacing w:val="-6"/>
                <w:sz w:val="21"/>
                <w:szCs w:val="21"/>
                <w:lang w:eastAsia="zh-CN"/>
              </w:rPr>
              <w:t>分</w:t>
            </w:r>
          </w:p>
        </w:tc>
      </w:tr>
      <w:tr w14:paraId="5DC6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exact"/>
          <w:jc w:val="center"/>
        </w:trPr>
        <w:tc>
          <w:tcPr>
            <w:tcW w:w="1996" w:type="dxa"/>
            <w:gridSpan w:val="2"/>
            <w:vAlign w:val="center"/>
          </w:tcPr>
          <w:p w14:paraId="44FEFABA">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14:paraId="4D6CA27B">
            <w:pPr>
              <w:spacing w:line="320" w:lineRule="exact"/>
              <w:jc w:val="center"/>
              <w:rPr>
                <w:rFonts w:hint="eastAsia" w:ascii="仿宋_GB2312" w:hAnsi="华文仿宋" w:eastAsia="华文中宋"/>
                <w:b/>
                <w:color w:val="000000"/>
                <w:sz w:val="28"/>
                <w:szCs w:val="28"/>
              </w:rPr>
            </w:pPr>
            <w:r>
              <w:rPr>
                <w:rFonts w:hint="eastAsia" w:ascii="华文中宋" w:hAnsi="华文中宋" w:eastAsia="华文中宋" w:cs="华文中宋"/>
                <w:bCs/>
                <w:color w:val="000000"/>
                <w:sz w:val="28"/>
                <w:szCs w:val="28"/>
              </w:rPr>
              <w:t>作品链接</w:t>
            </w:r>
          </w:p>
        </w:tc>
        <w:tc>
          <w:tcPr>
            <w:tcW w:w="4095" w:type="dxa"/>
            <w:gridSpan w:val="7"/>
            <w:vAlign w:val="center"/>
          </w:tcPr>
          <w:p w14:paraId="71D9D540">
            <w:pPr>
              <w:spacing w:line="240" w:lineRule="exact"/>
              <w:jc w:val="left"/>
              <w:rPr>
                <w:rFonts w:hint="eastAsia" w:ascii="仿宋_GB2312" w:hAnsi="华文仿宋" w:eastAsia="仿宋"/>
                <w:color w:val="000000"/>
                <w:sz w:val="28"/>
                <w:szCs w:val="28"/>
                <w:lang w:val="en-US" w:eastAsia="zh-CN"/>
              </w:rPr>
            </w:pPr>
            <w:r>
              <w:rPr>
                <w:rFonts w:hint="eastAsia" w:ascii="仿宋" w:hAnsi="仿宋" w:eastAsia="仿宋"/>
                <w:color w:val="000000"/>
                <w:szCs w:val="21"/>
              </w:rPr>
              <w:fldChar w:fldCharType="begin"/>
            </w:r>
            <w:r>
              <w:rPr>
                <w:rFonts w:hint="eastAsia" w:ascii="仿宋" w:hAnsi="仿宋" w:eastAsia="仿宋"/>
                <w:color w:val="000000"/>
                <w:szCs w:val="21"/>
              </w:rPr>
              <w:instrText xml:space="preserve"> HYPERLINK "https://m-bt.nmtv.cn/stream?id=3271819&amp;sign=337d50c4f" </w:instrText>
            </w:r>
            <w:r>
              <w:rPr>
                <w:rFonts w:hint="eastAsia" w:ascii="仿宋" w:hAnsi="仿宋" w:eastAsia="仿宋"/>
                <w:color w:val="000000"/>
                <w:szCs w:val="21"/>
              </w:rPr>
              <w:fldChar w:fldCharType="separate"/>
            </w:r>
            <w:r>
              <w:rPr>
                <w:rStyle w:val="16"/>
                <w:rFonts w:hint="eastAsia" w:ascii="仿宋" w:hAnsi="仿宋" w:eastAsia="仿宋"/>
                <w:szCs w:val="21"/>
              </w:rPr>
              <w:t>https://m-bt.nmtv.cn/stream?id=3271819&amp;sign=337d50c4f</w:t>
            </w:r>
            <w:r>
              <w:rPr>
                <w:rFonts w:hint="eastAsia" w:ascii="仿宋" w:hAnsi="仿宋" w:eastAsia="仿宋"/>
                <w:color w:val="000000"/>
                <w:szCs w:val="21"/>
              </w:rPr>
              <w:fldChar w:fldCharType="end"/>
            </w:r>
            <w:r>
              <w:rPr>
                <w:rFonts w:hint="eastAsia" w:ascii="仿宋" w:hAnsi="仿宋" w:eastAsia="仿宋"/>
                <w:color w:val="000000"/>
                <w:szCs w:val="21"/>
                <w:lang w:val="en-US" w:eastAsia="zh-CN"/>
              </w:rPr>
              <w:t xml:space="preserve"> </w:t>
            </w:r>
            <w:r>
              <w:rPr>
                <w:rFonts w:hint="eastAsia" w:ascii="仿宋_GB2312" w:hAnsi="华文仿宋" w:eastAsia="仿宋"/>
                <w:color w:val="000000"/>
                <w:sz w:val="28"/>
                <w:szCs w:val="28"/>
                <w:lang w:val="en-US" w:eastAsia="zh-CN"/>
              </w:rPr>
              <w:drawing>
                <wp:anchor distT="0" distB="0" distL="114300" distR="114300" simplePos="0" relativeHeight="251659264" behindDoc="0" locked="0" layoutInCell="1" allowOverlap="1">
                  <wp:simplePos x="0" y="0"/>
                  <wp:positionH relativeFrom="column">
                    <wp:posOffset>1066800</wp:posOffset>
                  </wp:positionH>
                  <wp:positionV relativeFrom="paragraph">
                    <wp:posOffset>-151130</wp:posOffset>
                  </wp:positionV>
                  <wp:extent cx="541655" cy="541655"/>
                  <wp:effectExtent l="0" t="0" r="10795" b="10795"/>
                  <wp:wrapTopAndBottom/>
                  <wp:docPr id="1" name="图片 1" descr="d621371333654e217266dd67c163e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621371333654e217266dd67c163eb5"/>
                          <pic:cNvPicPr>
                            <a:picLocks noChangeAspect="1"/>
                          </pic:cNvPicPr>
                        </pic:nvPicPr>
                        <pic:blipFill>
                          <a:blip r:embed="rId4"/>
                          <a:stretch>
                            <a:fillRect/>
                          </a:stretch>
                        </pic:blipFill>
                        <pic:spPr>
                          <a:xfrm>
                            <a:off x="0" y="0"/>
                            <a:ext cx="541655" cy="541655"/>
                          </a:xfrm>
                          <a:prstGeom prst="rect">
                            <a:avLst/>
                          </a:prstGeom>
                        </pic:spPr>
                      </pic:pic>
                    </a:graphicData>
                  </a:graphic>
                </wp:anchor>
              </w:drawing>
            </w:r>
          </w:p>
        </w:tc>
        <w:tc>
          <w:tcPr>
            <w:tcW w:w="1802" w:type="dxa"/>
            <w:gridSpan w:val="3"/>
            <w:vAlign w:val="center"/>
          </w:tcPr>
          <w:p w14:paraId="207A70A5">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14:paraId="0BE14093">
            <w:pPr>
              <w:spacing w:line="320" w:lineRule="exact"/>
              <w:jc w:val="center"/>
              <w:rPr>
                <w:rFonts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459" w:type="dxa"/>
            <w:gridSpan w:val="3"/>
            <w:vAlign w:val="center"/>
          </w:tcPr>
          <w:p w14:paraId="64808C13">
            <w:pPr>
              <w:spacing w:line="440" w:lineRule="exact"/>
              <w:jc w:val="left"/>
              <w:rPr>
                <w:rFonts w:hint="eastAsia" w:ascii="仿宋_GB2312" w:hAnsi="华文仿宋" w:eastAsia="仿宋_GB2312"/>
                <w:color w:val="000000"/>
                <w:sz w:val="28"/>
                <w:szCs w:val="28"/>
              </w:rPr>
            </w:pPr>
            <w:r>
              <w:rPr>
                <w:rFonts w:hint="eastAsia" w:ascii="仿宋" w:hAnsi="仿宋" w:eastAsia="仿宋"/>
                <w:color w:val="000000"/>
                <w:szCs w:val="21"/>
              </w:rPr>
              <w:t>否</w:t>
            </w:r>
          </w:p>
        </w:tc>
      </w:tr>
      <w:tr w14:paraId="6678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exact"/>
          <w:jc w:val="center"/>
        </w:trPr>
        <w:tc>
          <w:tcPr>
            <w:tcW w:w="984" w:type="dxa"/>
            <w:vAlign w:val="center"/>
          </w:tcPr>
          <w:p w14:paraId="7820DD5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428A400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67D9002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48667BF4">
            <w:pPr>
              <w:spacing w:line="32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介</w:t>
            </w:r>
          </w:p>
        </w:tc>
        <w:tc>
          <w:tcPr>
            <w:tcW w:w="9368" w:type="dxa"/>
            <w:gridSpan w:val="14"/>
            <w:vAlign w:val="center"/>
          </w:tcPr>
          <w:p w14:paraId="2BB9D31F">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default" w:ascii="仿宋_GB2312" w:eastAsia="仿宋"/>
                <w:color w:val="000000"/>
                <w:sz w:val="28"/>
                <w:lang w:val="en-US" w:eastAsia="zh-CN"/>
              </w:rPr>
            </w:pPr>
            <w:r>
              <w:rPr>
                <w:rFonts w:hint="eastAsia" w:ascii="仿宋" w:hAnsi="仿宋" w:eastAsia="仿宋"/>
                <w:color w:val="000000"/>
                <w:sz w:val="21"/>
                <w:szCs w:val="21"/>
              </w:rPr>
              <w:t>直播在习近平总书记</w:t>
            </w:r>
            <w:r>
              <w:rPr>
                <w:rFonts w:hint="eastAsia" w:ascii="仿宋" w:hAnsi="仿宋" w:eastAsia="仿宋"/>
                <w:color w:val="000000"/>
                <w:sz w:val="21"/>
                <w:szCs w:val="21"/>
                <w:lang w:val="en-US" w:eastAsia="zh-CN"/>
              </w:rPr>
              <w:t>的</w:t>
            </w:r>
            <w:r>
              <w:rPr>
                <w:rFonts w:hint="eastAsia" w:ascii="仿宋" w:hAnsi="仿宋" w:eastAsia="仿宋"/>
                <w:color w:val="000000"/>
                <w:sz w:val="21"/>
                <w:szCs w:val="21"/>
              </w:rPr>
              <w:t>“绿水青山就是金山银山”科学理念提出二十周年以及内蒙古大兴安岭林区全面停伐十周年的双重重大节点之际推出。直播以停伐纪念地为主会场，创新采用主会场演播+多路记者一线连线、沉浸式现场访谈等多元直播形态，</w:t>
            </w:r>
            <w:r>
              <w:rPr>
                <w:rFonts w:hint="eastAsia" w:ascii="仿宋" w:hAnsi="仿宋" w:eastAsia="仿宋"/>
                <w:color w:val="000000"/>
                <w:sz w:val="21"/>
                <w:szCs w:val="21"/>
                <w:lang w:val="en-US" w:eastAsia="zh-CN"/>
              </w:rPr>
              <w:t>通过</w:t>
            </w:r>
            <w:r>
              <w:rPr>
                <w:rFonts w:hint="eastAsia" w:ascii="仿宋" w:hAnsi="仿宋" w:eastAsia="仿宋"/>
                <w:color w:val="000000"/>
                <w:sz w:val="21"/>
                <w:szCs w:val="21"/>
              </w:rPr>
              <w:t>历史影像今昔对比、生态成果实地探访、人物故事深度讲述</w:t>
            </w:r>
            <w:r>
              <w:rPr>
                <w:rFonts w:hint="eastAsia" w:ascii="仿宋" w:hAnsi="仿宋" w:eastAsia="仿宋"/>
                <w:color w:val="000000"/>
                <w:sz w:val="21"/>
                <w:szCs w:val="21"/>
                <w:lang w:val="en-US" w:eastAsia="zh-CN"/>
              </w:rPr>
              <w:t>等形式，</w:t>
            </w:r>
            <w:r>
              <w:rPr>
                <w:rFonts w:hint="eastAsia" w:ascii="仿宋" w:hAnsi="仿宋" w:eastAsia="仿宋"/>
                <w:color w:val="000000"/>
                <w:sz w:val="21"/>
                <w:szCs w:val="21"/>
              </w:rPr>
              <w:t>全景式、立体化呈现内蒙古大兴安岭林区从“伐木经济”向“生态优先、绿色发展”的十年蝶变。节目系统梳理林区63年木材采伐史与十年生态修复历程，以鲜活现场、生动故事、震撼对比，将宏大生态叙事转化为可感可触的个体命运与发展实践，生动诠释“绿水青山就是金山银山”的深刻内涵。该直播获得</w:t>
            </w:r>
            <w:r>
              <w:rPr>
                <w:rFonts w:hint="eastAsia" w:ascii="仿宋" w:hAnsi="仿宋" w:eastAsia="仿宋"/>
                <w:color w:val="000000"/>
                <w:sz w:val="21"/>
                <w:szCs w:val="21"/>
                <w:lang w:val="en-US" w:eastAsia="zh-CN"/>
              </w:rPr>
              <w:t>国家广播电视总局2025年度优秀网络视听作品、</w:t>
            </w:r>
            <w:r>
              <w:rPr>
                <w:rFonts w:hint="eastAsia" w:ascii="仿宋" w:hAnsi="仿宋" w:eastAsia="仿宋"/>
                <w:color w:val="000000"/>
                <w:sz w:val="21"/>
                <w:szCs w:val="21"/>
              </w:rPr>
              <w:t>国家广播电视总局2025年二季度优秀视听作品</w:t>
            </w:r>
            <w:r>
              <w:rPr>
                <w:rFonts w:hint="eastAsia" w:ascii="仿宋" w:hAnsi="仿宋" w:eastAsia="仿宋"/>
                <w:color w:val="000000"/>
                <w:sz w:val="21"/>
                <w:szCs w:val="21"/>
                <w:lang w:eastAsia="zh-CN"/>
              </w:rPr>
              <w:t>，</w:t>
            </w:r>
            <w:r>
              <w:rPr>
                <w:rFonts w:hint="eastAsia" w:ascii="仿宋" w:hAnsi="仿宋" w:eastAsia="仿宋"/>
                <w:color w:val="000000"/>
                <w:sz w:val="21"/>
                <w:szCs w:val="21"/>
              </w:rPr>
              <w:t>其中直播中的宣推视频《内蒙古大兴安岭·停伐十年 听见森林新声》入选国家广播电视总局2025年“与时代同行”原创网络视听节目</w:t>
            </w:r>
            <w:r>
              <w:rPr>
                <w:rFonts w:hint="eastAsia" w:ascii="仿宋" w:hAnsi="仿宋" w:eastAsia="仿宋"/>
                <w:color w:val="000000"/>
                <w:sz w:val="21"/>
                <w:szCs w:val="21"/>
                <w:lang w:val="en-US" w:eastAsia="zh-CN"/>
              </w:rPr>
              <w:t>展播</w:t>
            </w:r>
            <w:r>
              <w:rPr>
                <w:rFonts w:hint="eastAsia" w:ascii="仿宋" w:hAnsi="仿宋" w:eastAsia="仿宋"/>
                <w:color w:val="000000"/>
                <w:sz w:val="21"/>
                <w:szCs w:val="21"/>
                <w:lang w:eastAsia="zh-CN"/>
              </w:rPr>
              <w:t>。</w:t>
            </w:r>
          </w:p>
        </w:tc>
      </w:tr>
      <w:tr w14:paraId="45E1D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exact"/>
          <w:jc w:val="center"/>
        </w:trPr>
        <w:tc>
          <w:tcPr>
            <w:tcW w:w="984" w:type="dxa"/>
            <w:vMerge w:val="restart"/>
            <w:vAlign w:val="center"/>
          </w:tcPr>
          <w:p w14:paraId="305EE64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华文中宋" w:hAnsi="华文中宋" w:eastAsia="华文中宋"/>
                <w:sz w:val="28"/>
                <w:szCs w:val="24"/>
              </w:rPr>
            </w:pPr>
            <w:r>
              <w:rPr>
                <w:rFonts w:hint="eastAsia" w:ascii="华文中宋" w:hAnsi="华文中宋" w:eastAsia="华文中宋"/>
                <w:sz w:val="28"/>
                <w:szCs w:val="24"/>
              </w:rPr>
              <w:t>传</w:t>
            </w:r>
          </w:p>
          <w:p w14:paraId="4D7CA38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华文中宋" w:hAnsi="华文中宋" w:eastAsia="华文中宋"/>
                <w:sz w:val="28"/>
                <w:szCs w:val="24"/>
              </w:rPr>
            </w:pPr>
            <w:r>
              <w:rPr>
                <w:rFonts w:hint="eastAsia" w:ascii="华文中宋" w:hAnsi="华文中宋" w:eastAsia="华文中宋"/>
                <w:sz w:val="28"/>
                <w:szCs w:val="24"/>
              </w:rPr>
              <w:t>播</w:t>
            </w:r>
          </w:p>
          <w:p w14:paraId="7CF8A53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华文中宋" w:hAnsi="华文中宋" w:eastAsia="华文中宋"/>
                <w:sz w:val="28"/>
                <w:szCs w:val="24"/>
              </w:rPr>
            </w:pPr>
            <w:r>
              <w:rPr>
                <w:rFonts w:hint="eastAsia" w:ascii="华文中宋" w:hAnsi="华文中宋" w:eastAsia="华文中宋"/>
                <w:sz w:val="28"/>
                <w:szCs w:val="24"/>
              </w:rPr>
              <w:t>数</w:t>
            </w:r>
          </w:p>
          <w:p w14:paraId="70243C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华文中宋" w:hAnsi="华文中宋" w:eastAsia="华文中宋"/>
                <w:sz w:val="28"/>
                <w:szCs w:val="24"/>
              </w:rPr>
            </w:pPr>
            <w:r>
              <w:rPr>
                <w:rFonts w:hint="eastAsia" w:ascii="华文中宋" w:hAnsi="华文中宋" w:eastAsia="华文中宋"/>
                <w:sz w:val="28"/>
                <w:szCs w:val="24"/>
              </w:rPr>
              <w:t>据</w:t>
            </w:r>
          </w:p>
        </w:tc>
        <w:tc>
          <w:tcPr>
            <w:tcW w:w="2368" w:type="dxa"/>
            <w:gridSpan w:val="3"/>
            <w:vAlign w:val="center"/>
          </w:tcPr>
          <w:p w14:paraId="21BC5434">
            <w:pPr>
              <w:spacing w:line="280" w:lineRule="exact"/>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67234177">
            <w:pPr>
              <w:spacing w:line="280" w:lineRule="exact"/>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000" w:type="dxa"/>
            <w:gridSpan w:val="11"/>
            <w:vAlign w:val="center"/>
          </w:tcPr>
          <w:p w14:paraId="173C11D0">
            <w:pPr>
              <w:spacing w:line="280" w:lineRule="exact"/>
              <w:rPr>
                <w:rFonts w:ascii="仿宋" w:hAnsi="仿宋" w:eastAsia="仿宋"/>
                <w:color w:val="000000"/>
                <w:szCs w:val="21"/>
              </w:rPr>
            </w:pPr>
            <w:r>
              <w:rPr>
                <w:rFonts w:ascii="仿宋" w:hAnsi="仿宋" w:eastAsia="仿宋"/>
                <w:color w:val="000000"/>
                <w:szCs w:val="21"/>
              </w:rPr>
              <w:t>https://weibo.com/p/23152266882867c808f4bcaa62bf345f16bdfb</w:t>
            </w:r>
          </w:p>
        </w:tc>
      </w:tr>
      <w:tr w14:paraId="2CAF4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exact"/>
          <w:jc w:val="center"/>
        </w:trPr>
        <w:tc>
          <w:tcPr>
            <w:tcW w:w="984" w:type="dxa"/>
            <w:vMerge w:val="continue"/>
            <w:vAlign w:val="center"/>
          </w:tcPr>
          <w:p w14:paraId="5BB88769">
            <w:pPr>
              <w:spacing w:line="320" w:lineRule="exact"/>
              <w:jc w:val="center"/>
              <w:rPr>
                <w:rFonts w:hint="eastAsia" w:ascii="华文中宋" w:hAnsi="华文中宋" w:eastAsia="华文中宋"/>
                <w:color w:val="000000"/>
                <w:sz w:val="28"/>
              </w:rPr>
            </w:pPr>
          </w:p>
        </w:tc>
        <w:tc>
          <w:tcPr>
            <w:tcW w:w="2368" w:type="dxa"/>
            <w:gridSpan w:val="3"/>
            <w:vAlign w:val="center"/>
          </w:tcPr>
          <w:p w14:paraId="76A6059C">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2EC0C0B1">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181" w:type="dxa"/>
            <w:vAlign w:val="center"/>
          </w:tcPr>
          <w:p w14:paraId="147D4771">
            <w:pPr>
              <w:spacing w:line="240" w:lineRule="exact"/>
              <w:rPr>
                <w:rFonts w:hint="eastAsia" w:ascii="仿宋" w:hAnsi="仿宋" w:eastAsia="仿宋"/>
                <w:color w:val="000000"/>
                <w:szCs w:val="21"/>
              </w:rPr>
            </w:pPr>
            <w:r>
              <w:rPr>
                <w:rFonts w:hint="eastAsia" w:ascii="仿宋" w:hAnsi="仿宋" w:eastAsia="仿宋"/>
                <w:color w:val="000000"/>
                <w:szCs w:val="21"/>
              </w:rPr>
              <w:t>777.2万</w:t>
            </w:r>
          </w:p>
        </w:tc>
        <w:tc>
          <w:tcPr>
            <w:tcW w:w="1005" w:type="dxa"/>
            <w:gridSpan w:val="3"/>
            <w:vAlign w:val="center"/>
          </w:tcPr>
          <w:p w14:paraId="13EF2E1D">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514A305C">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112" w:type="dxa"/>
            <w:gridSpan w:val="3"/>
            <w:vAlign w:val="center"/>
          </w:tcPr>
          <w:p w14:paraId="159EB907">
            <w:pPr>
              <w:spacing w:line="240" w:lineRule="exact"/>
              <w:rPr>
                <w:rFonts w:hint="eastAsia" w:ascii="仿宋" w:hAnsi="仿宋" w:eastAsia="仿宋"/>
                <w:color w:val="000000"/>
                <w:szCs w:val="21"/>
              </w:rPr>
            </w:pPr>
            <w:r>
              <w:rPr>
                <w:rFonts w:hint="eastAsia" w:ascii="仿宋" w:hAnsi="仿宋" w:eastAsia="仿宋"/>
                <w:color w:val="000000"/>
                <w:szCs w:val="21"/>
              </w:rPr>
              <w:t>2.6万</w:t>
            </w:r>
          </w:p>
        </w:tc>
        <w:tc>
          <w:tcPr>
            <w:tcW w:w="1449" w:type="dxa"/>
            <w:gridSpan w:val="3"/>
            <w:vAlign w:val="center"/>
          </w:tcPr>
          <w:p w14:paraId="16F55C75">
            <w:pPr>
              <w:spacing w:line="24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253" w:type="dxa"/>
            <w:vAlign w:val="center"/>
          </w:tcPr>
          <w:p w14:paraId="7F0DB912">
            <w:pPr>
              <w:spacing w:line="240" w:lineRule="exact"/>
              <w:rPr>
                <w:rFonts w:hint="eastAsia" w:ascii="仿宋" w:hAnsi="仿宋" w:eastAsia="仿宋"/>
                <w:color w:val="000000"/>
                <w:szCs w:val="21"/>
              </w:rPr>
            </w:pPr>
            <w:r>
              <w:rPr>
                <w:rFonts w:hint="eastAsia" w:ascii="仿宋" w:hAnsi="仿宋" w:eastAsia="仿宋"/>
                <w:color w:val="000000"/>
                <w:szCs w:val="21"/>
              </w:rPr>
              <w:t>3000万</w:t>
            </w:r>
          </w:p>
        </w:tc>
      </w:tr>
      <w:tr w14:paraId="1351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exact"/>
          <w:jc w:val="center"/>
        </w:trPr>
        <w:tc>
          <w:tcPr>
            <w:tcW w:w="984" w:type="dxa"/>
            <w:vAlign w:val="center"/>
          </w:tcPr>
          <w:p w14:paraId="7417428E">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79C4B97">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364BF18E">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72147E44">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042B9A00">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5C3F83BB">
            <w:pPr>
              <w:spacing w:line="34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9368" w:type="dxa"/>
            <w:gridSpan w:val="14"/>
          </w:tcPr>
          <w:p w14:paraId="48489A4B">
            <w:pPr>
              <w:rPr>
                <w:rFonts w:hint="eastAsia" w:ascii="仿宋" w:hAnsi="仿宋" w:eastAsia="仿宋"/>
                <w:color w:val="000000"/>
                <w:szCs w:val="21"/>
              </w:rPr>
            </w:pPr>
            <w:r>
              <w:rPr>
                <w:rFonts w:hint="eastAsia" w:ascii="仿宋" w:hAnsi="仿宋" w:eastAsia="仿宋"/>
                <w:color w:val="000000"/>
                <w:szCs w:val="21"/>
              </w:rPr>
              <w:t xml:space="preserve">1.政治站位高：作品以内蒙古大兴安岭停伐十年为鲜活样本，深刻践行习近平生态文明思想，生动展现我国北方重要生态安全屏障建设的实践，精准诠释“两山理念”的时代价值。 </w:t>
            </w:r>
          </w:p>
          <w:p w14:paraId="329EE4F5">
            <w:pPr>
              <w:spacing w:line="260" w:lineRule="exact"/>
              <w:rPr>
                <w:rFonts w:hint="eastAsia" w:ascii="仿宋" w:hAnsi="仿宋" w:eastAsia="仿宋"/>
                <w:color w:val="000000"/>
                <w:szCs w:val="21"/>
              </w:rPr>
            </w:pPr>
            <w:r>
              <w:rPr>
                <w:rFonts w:hint="eastAsia" w:ascii="仿宋" w:hAnsi="仿宋" w:eastAsia="仿宋"/>
                <w:color w:val="000000"/>
                <w:szCs w:val="21"/>
              </w:rPr>
              <w:t>2.</w:t>
            </w:r>
            <w:r>
              <w:rPr>
                <w:rFonts w:eastAsia="仿宋" w:cs="Calibri"/>
                <w:color w:val="000000"/>
                <w:szCs w:val="21"/>
              </w:rPr>
              <w:t> </w:t>
            </w:r>
            <w:r>
              <w:rPr>
                <w:rFonts w:hint="eastAsia" w:ascii="仿宋" w:hAnsi="仿宋" w:eastAsia="仿宋"/>
                <w:color w:val="000000"/>
                <w:szCs w:val="21"/>
              </w:rPr>
              <w:t>融媒创新强：突破传统直播模式，以互动连线、现场访谈、影像对比等多元语态，将宏大叙事转化为个体命运故事，让生态巨变可感可触，实现了历史记忆与当代传播的有机融合。</w:t>
            </w:r>
          </w:p>
          <w:p w14:paraId="7F972206">
            <w:pPr>
              <w:spacing w:line="360" w:lineRule="exact"/>
              <w:rPr>
                <w:rFonts w:ascii="仿宋" w:hAnsi="仿宋" w:eastAsia="仿宋"/>
                <w:color w:val="000000"/>
                <w:szCs w:val="21"/>
              </w:rPr>
            </w:pPr>
            <w:r>
              <w:rPr>
                <w:rFonts w:hint="eastAsia" w:ascii="仿宋" w:hAnsi="仿宋" w:eastAsia="仿宋"/>
                <w:color w:val="000000"/>
                <w:szCs w:val="21"/>
              </w:rPr>
              <w:t>3.</w:t>
            </w:r>
            <w:r>
              <w:rPr>
                <w:rFonts w:eastAsia="仿宋" w:cs="Calibri"/>
                <w:color w:val="000000"/>
                <w:szCs w:val="21"/>
              </w:rPr>
              <w:t> </w:t>
            </w:r>
            <w:r>
              <w:rPr>
                <w:rFonts w:hint="eastAsia" w:ascii="仿宋" w:hAnsi="仿宋" w:eastAsia="仿宋"/>
                <w:color w:val="000000"/>
                <w:szCs w:val="21"/>
              </w:rPr>
              <w:t xml:space="preserve">传播影响广：通过全国性融媒体矩阵实现“破圈”传播，有效激发了公众对生态文明建设的认同感与参与感，为重大主题报道的融合传播提供了可复制、可推广的范例。               </w:t>
            </w:r>
          </w:p>
          <w:p w14:paraId="55C267D8">
            <w:pPr>
              <w:spacing w:line="360" w:lineRule="exact"/>
              <w:ind w:firstLine="5670" w:firstLineChars="2700"/>
              <w:rPr>
                <w:rFonts w:hint="eastAsia" w:ascii="仿宋" w:hAnsi="仿宋" w:eastAsia="仿宋"/>
                <w:color w:val="000000"/>
                <w:szCs w:val="21"/>
              </w:rPr>
            </w:pPr>
            <w:r>
              <w:rPr>
                <w:rFonts w:hint="eastAsia" w:ascii="仿宋" w:hAnsi="仿宋" w:eastAsia="仿宋"/>
                <w:color w:val="000000"/>
                <w:szCs w:val="21"/>
              </w:rPr>
              <w:t>签名：（盖单位公章）</w:t>
            </w:r>
          </w:p>
          <w:p w14:paraId="1A52FBCA">
            <w:pPr>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olor w:val="000000"/>
                <w:szCs w:val="21"/>
                <w:lang w:val="en-US" w:eastAsia="zh-CN"/>
              </w:rPr>
              <w:t xml:space="preserve">    </w:t>
            </w:r>
            <w:r>
              <w:rPr>
                <w:rFonts w:hint="eastAsia" w:ascii="仿宋" w:hAnsi="仿宋" w:eastAsia="仿宋"/>
                <w:color w:val="000000"/>
                <w:szCs w:val="21"/>
              </w:rPr>
              <w:t xml:space="preserve">  2026年    月    日</w:t>
            </w:r>
          </w:p>
        </w:tc>
      </w:tr>
      <w:tr w14:paraId="11F0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exact"/>
          <w:jc w:val="center"/>
        </w:trPr>
        <w:tc>
          <w:tcPr>
            <w:tcW w:w="2548" w:type="dxa"/>
            <w:gridSpan w:val="3"/>
            <w:vAlign w:val="center"/>
          </w:tcPr>
          <w:p w14:paraId="1AB54C48">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004" w:type="dxa"/>
            <w:gridSpan w:val="3"/>
            <w:vAlign w:val="center"/>
          </w:tcPr>
          <w:p w14:paraId="78EECA6F">
            <w:pPr>
              <w:spacing w:line="240" w:lineRule="exact"/>
              <w:rPr>
                <w:rFonts w:hint="eastAsia" w:ascii="华文中宋" w:hAnsi="华文中宋" w:eastAsia="华文中宋"/>
                <w:color w:val="000000"/>
                <w:sz w:val="28"/>
                <w:szCs w:val="28"/>
              </w:rPr>
            </w:pPr>
          </w:p>
        </w:tc>
        <w:tc>
          <w:tcPr>
            <w:tcW w:w="792" w:type="dxa"/>
            <w:vAlign w:val="center"/>
          </w:tcPr>
          <w:p w14:paraId="59F89865">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7" w:type="dxa"/>
            <w:gridSpan w:val="3"/>
            <w:vAlign w:val="center"/>
          </w:tcPr>
          <w:p w14:paraId="7D3FE1D8">
            <w:pPr>
              <w:spacing w:line="240" w:lineRule="exact"/>
              <w:ind w:firstLine="480"/>
              <w:jc w:val="center"/>
              <w:rPr>
                <w:rFonts w:hint="eastAsia" w:ascii="华文中宋" w:hAnsi="华文中宋" w:eastAsia="华文中宋"/>
                <w:color w:val="000000"/>
                <w:sz w:val="28"/>
                <w:szCs w:val="28"/>
              </w:rPr>
            </w:pPr>
          </w:p>
        </w:tc>
        <w:tc>
          <w:tcPr>
            <w:tcW w:w="864" w:type="dxa"/>
            <w:gridSpan w:val="3"/>
            <w:vAlign w:val="center"/>
          </w:tcPr>
          <w:p w14:paraId="598851D5">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327" w:type="dxa"/>
            <w:gridSpan w:val="2"/>
            <w:vAlign w:val="center"/>
          </w:tcPr>
          <w:p w14:paraId="6D54CCF7">
            <w:pPr>
              <w:spacing w:line="240" w:lineRule="exact"/>
              <w:jc w:val="center"/>
              <w:rPr>
                <w:rFonts w:hint="eastAsia" w:ascii="华文中宋" w:hAnsi="华文中宋" w:eastAsia="华文中宋"/>
                <w:color w:val="000000"/>
                <w:sz w:val="28"/>
                <w:szCs w:val="28"/>
              </w:rPr>
            </w:pPr>
            <w:bookmarkStart w:id="0" w:name="_GoBack"/>
            <w:bookmarkEnd w:id="0"/>
          </w:p>
        </w:tc>
      </w:tr>
    </w:tbl>
    <w:p w14:paraId="2FBC98C8">
      <w:pPr>
        <w:rPr>
          <w:rFonts w:hint="eastAsia"/>
          <w:vanish/>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仿宋_GB2312">
    <w:altName w:val="方正仿宋_GBK"/>
    <w:panose1 w:val="00000000000000000000"/>
    <w:charset w:val="00"/>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DC"/>
    <w:rsid w:val="001443F8"/>
    <w:rsid w:val="003554F7"/>
    <w:rsid w:val="003D0404"/>
    <w:rsid w:val="003F1ECC"/>
    <w:rsid w:val="004636DC"/>
    <w:rsid w:val="00583943"/>
    <w:rsid w:val="00771686"/>
    <w:rsid w:val="007A5847"/>
    <w:rsid w:val="007E67FE"/>
    <w:rsid w:val="00A438AE"/>
    <w:rsid w:val="00C85F8B"/>
    <w:rsid w:val="00CB49F1"/>
    <w:rsid w:val="00CF7AE6"/>
    <w:rsid w:val="00DD65EA"/>
    <w:rsid w:val="02054F52"/>
    <w:rsid w:val="02076F1C"/>
    <w:rsid w:val="02EB7B16"/>
    <w:rsid w:val="03195159"/>
    <w:rsid w:val="0681614C"/>
    <w:rsid w:val="09B721A3"/>
    <w:rsid w:val="0EB57F93"/>
    <w:rsid w:val="0EBC4BEA"/>
    <w:rsid w:val="10A27FD0"/>
    <w:rsid w:val="1168209E"/>
    <w:rsid w:val="13A40DD7"/>
    <w:rsid w:val="143C0CA7"/>
    <w:rsid w:val="166A2EEE"/>
    <w:rsid w:val="1E6A6411"/>
    <w:rsid w:val="2537321F"/>
    <w:rsid w:val="255E0351"/>
    <w:rsid w:val="2B3272FF"/>
    <w:rsid w:val="2D697572"/>
    <w:rsid w:val="33307EBA"/>
    <w:rsid w:val="36E807A2"/>
    <w:rsid w:val="3A951934"/>
    <w:rsid w:val="3AA15805"/>
    <w:rsid w:val="3CB72D11"/>
    <w:rsid w:val="3D0C2188"/>
    <w:rsid w:val="3DE37967"/>
    <w:rsid w:val="41477DA7"/>
    <w:rsid w:val="43140575"/>
    <w:rsid w:val="47DB0E6C"/>
    <w:rsid w:val="4CB37051"/>
    <w:rsid w:val="4D553C64"/>
    <w:rsid w:val="501778F7"/>
    <w:rsid w:val="540C51D3"/>
    <w:rsid w:val="545207D2"/>
    <w:rsid w:val="56B17D0D"/>
    <w:rsid w:val="57A17F6F"/>
    <w:rsid w:val="58597EAB"/>
    <w:rsid w:val="59437E22"/>
    <w:rsid w:val="5C2E163D"/>
    <w:rsid w:val="5EAB402C"/>
    <w:rsid w:val="5F84662B"/>
    <w:rsid w:val="60B028AD"/>
    <w:rsid w:val="61A73945"/>
    <w:rsid w:val="62143C96"/>
    <w:rsid w:val="66162569"/>
    <w:rsid w:val="6AA81420"/>
    <w:rsid w:val="6D8A305E"/>
    <w:rsid w:val="6FC7528D"/>
    <w:rsid w:val="70B76860"/>
    <w:rsid w:val="72C45265"/>
    <w:rsid w:val="733207B2"/>
    <w:rsid w:val="78077920"/>
    <w:rsid w:val="7AEF6BF7"/>
    <w:rsid w:val="7DD31FFC"/>
    <w:rsid w:val="7DFD25D2"/>
    <w:rsid w:val="7EE355B3"/>
    <w:rsid w:val="FFF54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5">
    <w:name w:val="Strong"/>
    <w:qFormat/>
    <w:uiPriority w:val="0"/>
    <w:rPr>
      <w:rFonts w:ascii="Calibri" w:hAnsi="Calibri" w:eastAsia="宋体" w:cs="Times New Roman"/>
      <w:b/>
      <w:bCs/>
    </w:rPr>
  </w:style>
  <w:style w:type="character" w:styleId="16">
    <w:name w:val="Hyperlink"/>
    <w:basedOn w:val="14"/>
    <w:semiHidden/>
    <w:unhideWhenUsed/>
    <w:qFormat/>
    <w:uiPriority w:val="99"/>
    <w:rPr>
      <w:color w:val="0000FF"/>
      <w:u w:val="single"/>
    </w:rPr>
  </w:style>
  <w:style w:type="character" w:customStyle="1" w:styleId="17">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4"/>
    <w:link w:val="5"/>
    <w:semiHidden/>
    <w:qFormat/>
    <w:uiPriority w:val="9"/>
    <w:rPr>
      <w:rFonts w:cstheme="majorBidi"/>
      <w:color w:val="2F5597" w:themeColor="accent1" w:themeShade="BF"/>
      <w:sz w:val="28"/>
      <w:szCs w:val="28"/>
    </w:rPr>
  </w:style>
  <w:style w:type="character" w:customStyle="1" w:styleId="21">
    <w:name w:val="标题 5 字符"/>
    <w:basedOn w:val="14"/>
    <w:link w:val="6"/>
    <w:semiHidden/>
    <w:qFormat/>
    <w:uiPriority w:val="9"/>
    <w:rPr>
      <w:rFonts w:cstheme="majorBidi"/>
      <w:color w:val="2F5597" w:themeColor="accent1" w:themeShade="BF"/>
      <w:sz w:val="24"/>
      <w:szCs w:val="24"/>
    </w:rPr>
  </w:style>
  <w:style w:type="character" w:customStyle="1" w:styleId="22">
    <w:name w:val="标题 6 字符"/>
    <w:basedOn w:val="14"/>
    <w:link w:val="7"/>
    <w:semiHidden/>
    <w:qFormat/>
    <w:uiPriority w:val="9"/>
    <w:rPr>
      <w:rFonts w:cstheme="majorBidi"/>
      <w:b/>
      <w:bCs/>
      <w:color w:val="2F5597" w:themeColor="accent1" w:themeShade="BF"/>
    </w:rPr>
  </w:style>
  <w:style w:type="character" w:customStyle="1" w:styleId="23">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4"/>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rPr>
  </w:style>
  <w:style w:type="character" w:customStyle="1" w:styleId="31">
    <w:name w:val="Intense Emphasis"/>
    <w:basedOn w:val="14"/>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rFonts w:asciiTheme="minorHAnsi" w:hAnsiTheme="minorHAnsi" w:eastAsiaTheme="minorEastAsia" w:cstheme="minorBidi"/>
      <w:i/>
      <w:iCs/>
      <w:color w:val="2F5597" w:themeColor="accent1" w:themeShade="BF"/>
    </w:rPr>
  </w:style>
  <w:style w:type="character" w:customStyle="1" w:styleId="33">
    <w:name w:val="明显引用 字符"/>
    <w:basedOn w:val="14"/>
    <w:link w:val="32"/>
    <w:qFormat/>
    <w:uiPriority w:val="30"/>
    <w:rPr>
      <w:i/>
      <w:iCs/>
      <w:color w:val="2F5597" w:themeColor="accent1" w:themeShade="BF"/>
    </w:rPr>
  </w:style>
  <w:style w:type="character" w:customStyle="1" w:styleId="34">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1060</Words>
  <Characters>1214</Characters>
  <Lines>74</Lines>
  <Paragraphs>77</Paragraphs>
  <TotalTime>16</TotalTime>
  <ScaleCrop>false</ScaleCrop>
  <LinksUpToDate>false</LinksUpToDate>
  <CharactersWithSpaces>1300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2026-04-13T23:16:00Z</dcterms:created>
  <dc:creator>Administrator</dc:creator>
  <cp:lastModifiedBy>寂寞雨伞</cp:lastModifiedBy>
  <cp:lastPrinted>2026-04-17T16:56:00Z</cp:lastPrinted>
  <dcterms:modified xsi:type="dcterms:W3CDTF">2026-04-21T12:34:03Z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eyJoZGlkIjoiMjhmNDk5YjlhZWVlYzhiNDVmNjgxMTk5M2JmMGNlMjAiLCJ1c2VySWQiOiIzMzUwOTgyMzEifQ==</vt:lpwstr>
  </property>
  <property fmtid="{D5CDD505-2E9C-101B-9397-08002B2CF9AE}" pid="3" name="KSOProductBuildVer">
    <vt:lpwstr>2052-12.1.0.25865</vt:lpwstr>
  </property>
  <property fmtid="{D5CDD505-2E9C-101B-9397-08002B2CF9AE}" pid="4" name="ICV">
    <vt:lpwstr>12E15A54C2194810B6B5A8ABDA486E18_13</vt:lpwstr>
  </property>
</Properties>
</file>